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4F" w:rsidRPr="009F0FDA" w:rsidRDefault="009F0FDA" w:rsidP="009F0FDA">
      <w:pPr>
        <w:jc w:val="center"/>
        <w:rPr>
          <w:b/>
          <w:sz w:val="36"/>
          <w:szCs w:val="36"/>
          <w:u w:val="single"/>
        </w:rPr>
      </w:pPr>
      <w:r w:rsidRPr="009F0FDA">
        <w:rPr>
          <w:b/>
          <w:sz w:val="36"/>
          <w:szCs w:val="36"/>
          <w:u w:val="single"/>
        </w:rPr>
        <w:t>LINK AND GUIDANCE FOR TAX RETURN REGISTERATION</w:t>
      </w:r>
    </w:p>
    <w:p w:rsidR="007C7F94" w:rsidRDefault="007C7F94"/>
    <w:p w:rsidR="007C7F94" w:rsidRDefault="007C7F94">
      <w:pPr>
        <w:rPr>
          <w:b/>
          <w:sz w:val="32"/>
          <w:szCs w:val="32"/>
        </w:rPr>
      </w:pPr>
      <w:hyperlink r:id="rId5" w:history="1">
        <w:r w:rsidRPr="00D97D5F">
          <w:rPr>
            <w:rStyle w:val="Hyperlink"/>
            <w:b/>
            <w:sz w:val="32"/>
            <w:szCs w:val="32"/>
          </w:rPr>
          <w:t>https://iris.fbr.gov.pk/public/txplogin.xhtml</w:t>
        </w:r>
      </w:hyperlink>
    </w:p>
    <w:p w:rsidR="007C7F94" w:rsidRDefault="007C7F94" w:rsidP="00C320BF">
      <w:pPr>
        <w:ind w:left="-45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19900" cy="4019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104" cy="402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94" w:rsidRPr="007C7F94" w:rsidRDefault="007C7F94" w:rsidP="007C7F9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7C7F94">
        <w:rPr>
          <w:b/>
          <w:sz w:val="32"/>
          <w:szCs w:val="32"/>
        </w:rPr>
        <w:t>If You have registered yourself then</w:t>
      </w:r>
    </w:p>
    <w:p w:rsidR="007C7F94" w:rsidRDefault="007C7F94">
      <w:pPr>
        <w:rPr>
          <w:b/>
          <w:sz w:val="32"/>
          <w:szCs w:val="32"/>
        </w:rPr>
      </w:pPr>
      <w:r>
        <w:rPr>
          <w:b/>
          <w:sz w:val="32"/>
          <w:szCs w:val="32"/>
        </w:rPr>
        <w:t>In Registration Column ad CNIC Number without dashes</w:t>
      </w:r>
    </w:p>
    <w:p w:rsidR="007C7F94" w:rsidRDefault="007C7F94">
      <w:pPr>
        <w:rPr>
          <w:b/>
          <w:sz w:val="32"/>
          <w:szCs w:val="32"/>
        </w:rPr>
      </w:pPr>
      <w:r>
        <w:rPr>
          <w:b/>
          <w:sz w:val="32"/>
          <w:szCs w:val="32"/>
        </w:rPr>
        <w:t>Also add Password in the next column.</w:t>
      </w:r>
    </w:p>
    <w:p w:rsidR="007C7F94" w:rsidRPr="007C7F94" w:rsidRDefault="007C7F94" w:rsidP="007C7F9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C7F94">
        <w:rPr>
          <w:b/>
          <w:sz w:val="32"/>
          <w:szCs w:val="32"/>
        </w:rPr>
        <w:t>If not registered, then click on last column of Registration for Unregistered Persons and provide necessary information.</w:t>
      </w:r>
    </w:p>
    <w:p w:rsidR="007C7F94" w:rsidRDefault="007C7F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this purpose, it is necessary to have your own email ID and mobile phone, because for their confirmation the codes </w:t>
      </w:r>
      <w:r w:rsidR="00C320BF">
        <w:rPr>
          <w:b/>
          <w:sz w:val="32"/>
          <w:szCs w:val="32"/>
        </w:rPr>
        <w:t>will</w:t>
      </w:r>
      <w:r>
        <w:rPr>
          <w:b/>
          <w:sz w:val="32"/>
          <w:szCs w:val="32"/>
        </w:rPr>
        <w:t xml:space="preserve"> be sent on both email ID and Mobile Phone.</w:t>
      </w:r>
    </w:p>
    <w:p w:rsidR="007C7F94" w:rsidRPr="007C7F94" w:rsidRDefault="007C7F94">
      <w:pPr>
        <w:rPr>
          <w:b/>
          <w:sz w:val="32"/>
          <w:szCs w:val="32"/>
        </w:rPr>
      </w:pPr>
    </w:p>
    <w:sectPr w:rsidR="007C7F94" w:rsidRPr="007C7F94" w:rsidSect="00C320B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4886"/>
    <w:multiLevelType w:val="hybridMultilevel"/>
    <w:tmpl w:val="E5BCDF7A"/>
    <w:lvl w:ilvl="0" w:tplc="C1A2D8C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F94"/>
    <w:rsid w:val="005C574F"/>
    <w:rsid w:val="007C7F94"/>
    <w:rsid w:val="009F0FDA"/>
    <w:rsid w:val="00C3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7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ris.fbr.gov.pk/public/txplogin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</dc:creator>
  <cp:lastModifiedBy>SHANI</cp:lastModifiedBy>
  <cp:revision>3</cp:revision>
  <dcterms:created xsi:type="dcterms:W3CDTF">2021-03-03T11:35:00Z</dcterms:created>
  <dcterms:modified xsi:type="dcterms:W3CDTF">2021-03-03T11:44:00Z</dcterms:modified>
</cp:coreProperties>
</file>